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sz w:val="36"/>
          <w:szCs w:val="36"/>
          <w:rtl w:val="0"/>
        </w:rPr>
        <w:t xml:space="preserve">Teaching Figurative Language with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sz w:val="36"/>
          <w:szCs w:val="36"/>
          <w:rtl w:val="0"/>
        </w:rPr>
        <w:t xml:space="preserve">Theodore, the Turkey Who Found a Zoo.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sz w:val="36"/>
          <w:szCs w:val="36"/>
          <w:rtl w:val="0"/>
        </w:rPr>
        <w:t xml:space="preserve">Grade 3-4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In this lesson, students will learn to recognize various types of figurative language. These include onomatopoeia, alliteration, imagery, simile.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Teaching time:</w:t>
      </w:r>
      <w:r w:rsidDel="00000000" w:rsidR="00000000" w:rsidRPr="00000000">
        <w:rPr>
          <w:rtl w:val="0"/>
        </w:rPr>
        <w:t xml:space="preserve"> 1 day/ELA class period.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Supplies: Theodore, the Turkey Who Found a Zoo by Allison F. Speer; assume that you have pretaught or introduced students to figurative language concepts.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Before reading</w:t>
      </w:r>
      <w:r w:rsidDel="00000000" w:rsidR="00000000" w:rsidRPr="00000000">
        <w:rPr>
          <w:rtl w:val="0"/>
        </w:rPr>
        <w:t xml:space="preserve">: Tell students you are on a hunt for the following types of figurative language (see list above). You might even have the words of the various types of FL posted on your board for easy access.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During reading:</w:t>
      </w:r>
      <w:r w:rsidDel="00000000" w:rsidR="00000000" w:rsidRPr="00000000">
        <w:rPr>
          <w:rtl w:val="0"/>
        </w:rPr>
        <w:t xml:space="preserve"> Have students make a list in their journals of what type of figurative language they hear. They will want to announce it, but tell them you will take a count at the end of how many there are of the different kinds.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After reading:</w:t>
      </w:r>
      <w:r w:rsidDel="00000000" w:rsidR="00000000" w:rsidRPr="00000000">
        <w:rPr>
          <w:rtl w:val="0"/>
        </w:rPr>
        <w:t xml:space="preserve"> Students will have a class discussion about the type of FL and what it was.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You could also turn this into a scavenger hunt. (Find the FL in the book). Here is a list of the various types and page numbers.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Alliteration</w:t>
      </w:r>
      <w:r w:rsidDel="00000000" w:rsidR="00000000" w:rsidRPr="00000000">
        <w:rPr>
          <w:rtl w:val="0"/>
        </w:rPr>
        <w:t xml:space="preserve">: p. 2 “Straight Sidewalks”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P.5 strolling and strutting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P. 12 spot is for stripes only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P. 29 long, lanky leg; I always tell them the turkey’s turf is not in our territory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P. 32  pesky penguins and lazy lions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P. 35 giggled and gobbled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Onomatopoeia</w:t>
      </w:r>
      <w:r w:rsidDel="00000000" w:rsidR="00000000" w:rsidRPr="00000000">
        <w:rPr>
          <w:rtl w:val="0"/>
        </w:rPr>
        <w:t xml:space="preserve"> p.5-6 ROAR (also p.26)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P. 15 Tap, tap, tappity tap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P.21 Gobble Gobble Gobble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Imagery</w:t>
      </w:r>
      <w:r w:rsidDel="00000000" w:rsidR="00000000" w:rsidRPr="00000000">
        <w:rPr>
          <w:rtl w:val="0"/>
        </w:rPr>
        <w:tab/>
        <w:t xml:space="preserve">p. 2 beautiful two-story houses, big magnolia trees and straight sidewalks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P. 6 through the gray pathways and crossed a busy street.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P.14 one, two, three steps and entered the chilly, dim room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P. 21 standing on the bench that overlooked a vast plot of greenness and a sun-covered plateau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Simile</w:t>
        <w:tab/>
        <w:tab/>
        <w:t xml:space="preserve">p. </w:t>
      </w:r>
      <w:r w:rsidDel="00000000" w:rsidR="00000000" w:rsidRPr="00000000">
        <w:rPr>
          <w:rtl w:val="0"/>
        </w:rPr>
        <w:t xml:space="preserve">Toppled over like bowling pins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P. like the petals surrounding a sunflower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P. eyes lit up like the stars over the vast Texas night sky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EXTENSION: Students could use the book and write their own sentence with figurative language. Pass out cards with the names of  different types of FL. Students pair together to write a sentence that includes a character from the book and a simile, for example. Then students share their sentences.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